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8E49" w14:textId="77777777" w:rsidR="009A5A61" w:rsidRPr="00A07ED0" w:rsidRDefault="009A5A61">
      <w:pPr>
        <w:pStyle w:val="Title"/>
        <w:rPr>
          <w:rFonts w:ascii="Arial" w:hAnsi="Arial" w:cs="Arial"/>
          <w:color w:val="339966"/>
          <w:sz w:val="48"/>
          <w:szCs w:val="48"/>
          <w:u w:val="none"/>
        </w:rPr>
      </w:pPr>
      <w:r w:rsidRPr="00A07ED0">
        <w:rPr>
          <w:rFonts w:ascii="Arial" w:hAnsi="Arial" w:cs="Arial"/>
          <w:color w:val="339966"/>
          <w:sz w:val="48"/>
          <w:szCs w:val="48"/>
          <w:u w:val="none"/>
        </w:rPr>
        <w:t>CHAPELFIELD MEDICAL CENTRE</w:t>
      </w:r>
    </w:p>
    <w:p w14:paraId="05734A2F" w14:textId="77777777" w:rsidR="009A5A61" w:rsidRPr="00A07ED0" w:rsidRDefault="009A5A61">
      <w:pPr>
        <w:pStyle w:val="Subtitle"/>
        <w:rPr>
          <w:rFonts w:ascii="Arial" w:hAnsi="Arial" w:cs="Arial"/>
          <w:sz w:val="28"/>
          <w:szCs w:val="28"/>
        </w:rPr>
      </w:pPr>
      <w:r w:rsidRPr="00A07ED0">
        <w:rPr>
          <w:rFonts w:ascii="Arial" w:hAnsi="Arial" w:cs="Arial"/>
          <w:sz w:val="28"/>
          <w:szCs w:val="28"/>
        </w:rPr>
        <w:t>Mayflower Way</w:t>
      </w:r>
      <w:r w:rsidR="0045297E" w:rsidRPr="00A07ED0">
        <w:rPr>
          <w:rFonts w:ascii="Arial" w:hAnsi="Arial" w:cs="Arial"/>
          <w:sz w:val="28"/>
          <w:szCs w:val="28"/>
        </w:rPr>
        <w:t>,</w:t>
      </w:r>
      <w:r w:rsidRPr="00A07ED0">
        <w:rPr>
          <w:rFonts w:ascii="Arial" w:hAnsi="Arial" w:cs="Arial"/>
          <w:sz w:val="28"/>
          <w:szCs w:val="28"/>
        </w:rPr>
        <w:t xml:space="preserve"> Wombwell</w:t>
      </w:r>
      <w:r w:rsidR="0045297E" w:rsidRPr="00A07ED0">
        <w:rPr>
          <w:rFonts w:ascii="Arial" w:hAnsi="Arial" w:cs="Arial"/>
          <w:sz w:val="28"/>
          <w:szCs w:val="28"/>
        </w:rPr>
        <w:t>,</w:t>
      </w:r>
      <w:r w:rsidRPr="00A07ED0">
        <w:rPr>
          <w:rFonts w:ascii="Arial" w:hAnsi="Arial" w:cs="Arial"/>
          <w:sz w:val="28"/>
          <w:szCs w:val="28"/>
        </w:rPr>
        <w:t xml:space="preserve"> Barnsley S73 0AJ</w:t>
      </w:r>
    </w:p>
    <w:p w14:paraId="32F1A160" w14:textId="77777777" w:rsidR="009A5A61" w:rsidRDefault="009A5A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C8B178" w14:textId="77777777" w:rsidR="009F44F9" w:rsidRPr="0050140F" w:rsidRDefault="009F44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FE9639" w14:textId="1A7FBCE2" w:rsidR="002F35E7" w:rsidRPr="001A7CA7" w:rsidRDefault="002F35E7" w:rsidP="001A7CA7">
      <w:pPr>
        <w:tabs>
          <w:tab w:val="left" w:pos="0"/>
          <w:tab w:val="left" w:leader="dot" w:pos="900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2F35E7">
        <w:rPr>
          <w:rFonts w:ascii="Arial" w:hAnsi="Arial" w:cs="Arial"/>
          <w:b/>
          <w:bCs/>
          <w:sz w:val="40"/>
          <w:szCs w:val="40"/>
        </w:rPr>
        <w:t>What happens when you are referred by</w:t>
      </w:r>
      <w:r w:rsidRPr="001A7CA7">
        <w:rPr>
          <w:rFonts w:ascii="Arial" w:hAnsi="Arial" w:cs="Arial"/>
          <w:b/>
          <w:bCs/>
          <w:sz w:val="40"/>
          <w:szCs w:val="40"/>
        </w:rPr>
        <w:t xml:space="preserve"> </w:t>
      </w:r>
      <w:r w:rsidRPr="002F35E7">
        <w:rPr>
          <w:rFonts w:ascii="Arial" w:hAnsi="Arial" w:cs="Arial"/>
          <w:b/>
          <w:bCs/>
          <w:sz w:val="40"/>
          <w:szCs w:val="40"/>
        </w:rPr>
        <w:t>your GP to see a Consultant Privately</w:t>
      </w:r>
      <w:r w:rsidR="005E4ED7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5E39173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6033141C" w14:textId="6915C52B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This leaflet describes what you can expect to happen if you ask your GP to refer you to see a specialist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doctor privately.</w:t>
      </w:r>
    </w:p>
    <w:p w14:paraId="615D8369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22975A47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36"/>
          <w:szCs w:val="36"/>
        </w:rPr>
      </w:pPr>
      <w:r w:rsidRPr="002F35E7">
        <w:rPr>
          <w:rFonts w:ascii="Arial" w:hAnsi="Arial" w:cs="Arial"/>
          <w:b/>
          <w:bCs/>
          <w:sz w:val="36"/>
          <w:szCs w:val="36"/>
        </w:rPr>
        <w:t>What happens next?</w:t>
      </w:r>
    </w:p>
    <w:p w14:paraId="70987163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13F40F71" w14:textId="4A12C0EA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Your GP will write a referral letter if they think it is appropriate and send it to the Consultant that you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have both agreed to, this will include any relevant medical details about you. [If an insurance company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wishes for a specific form to be completed you will be charged for this additional work].</w:t>
      </w:r>
    </w:p>
    <w:p w14:paraId="58C178E4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65F9E9D5" w14:textId="051B293C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You should contact the Consultants team directly to organise an appointment. Should there be any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appointment issues in the future, you should contact them directly.</w:t>
      </w:r>
    </w:p>
    <w:p w14:paraId="504FB32E" w14:textId="77777777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38B18369" w14:textId="77777777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2F35E7" w14:paraId="1DDAF601" w14:textId="77777777" w:rsidTr="00391701">
        <w:tc>
          <w:tcPr>
            <w:tcW w:w="4675" w:type="dxa"/>
          </w:tcPr>
          <w:p w14:paraId="1F9F37AB" w14:textId="3A27586A" w:rsidR="00391701" w:rsidRP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F35E7">
              <w:rPr>
                <w:rFonts w:ascii="Arial" w:hAnsi="Arial" w:cs="Arial"/>
                <w:b/>
                <w:bCs/>
                <w:sz w:val="36"/>
                <w:szCs w:val="36"/>
              </w:rPr>
              <w:t>Seeing the Consultant:</w:t>
            </w:r>
          </w:p>
          <w:p w14:paraId="4BBEC0EB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FBE151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>What happens if I need a test or procedure?</w:t>
            </w:r>
          </w:p>
          <w:p w14:paraId="3200E185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44E90F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If the Consultant thinks that you need </w:t>
            </w:r>
          </w:p>
          <w:p w14:paraId="21287F92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any tests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(including blood tests), or a </w:t>
            </w:r>
          </w:p>
          <w:p w14:paraId="7E26BD1E" w14:textId="75ADA1E3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surgical procedure,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the Consultant is responsible for:</w:t>
            </w:r>
          </w:p>
          <w:p w14:paraId="5EE8FF4D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41E611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• arranging the test and any medications</w:t>
            </w:r>
          </w:p>
          <w:p w14:paraId="1FBAC285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>hat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>might be needed for this as well as explaining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 xml:space="preserve">how and when you will receive </w:t>
            </w:r>
          </w:p>
          <w:p w14:paraId="40FEE81A" w14:textId="3342AB84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 date and what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to do if the date is not suitable for </w:t>
            </w:r>
            <w:proofErr w:type="gramStart"/>
            <w:r w:rsidRPr="002F35E7">
              <w:rPr>
                <w:rFonts w:ascii="Arial" w:hAnsi="Arial" w:cs="Arial"/>
                <w:sz w:val="22"/>
                <w:szCs w:val="22"/>
              </w:rPr>
              <w:t>you;</w:t>
            </w:r>
            <w:proofErr w:type="gramEnd"/>
          </w:p>
          <w:p w14:paraId="53F8FB91" w14:textId="77777777" w:rsidR="00391701" w:rsidRPr="002F35E7" w:rsidRDefault="00391701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F9B4EE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• giving you the results and explaining </w:t>
            </w:r>
          </w:p>
          <w:p w14:paraId="6B987E48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W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>hat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 xml:space="preserve">they mean (this may be done in </w:t>
            </w:r>
          </w:p>
          <w:p w14:paraId="3BB6FFC1" w14:textId="767E6FEB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 separate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appointment with the </w:t>
            </w:r>
          </w:p>
          <w:p w14:paraId="71754502" w14:textId="15536784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Consultant or by letter).</w:t>
            </w:r>
          </w:p>
          <w:p w14:paraId="5F3D2515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7BEB2C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You should not visit your GP surgery </w:t>
            </w:r>
          </w:p>
          <w:p w14:paraId="6E075749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to discuss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the results of tests </w:t>
            </w:r>
          </w:p>
          <w:p w14:paraId="366B018C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organised by others, it is the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A2291B" w14:textId="0F7AA10D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Consultants’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 xml:space="preserve"> responsibility to discuss </w:t>
            </w:r>
          </w:p>
          <w:p w14:paraId="422F1534" w14:textId="42272423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this with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you.</w:t>
            </w:r>
          </w:p>
          <w:p w14:paraId="7CBE8445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4D480E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>What happens if I need new medicines?</w:t>
            </w:r>
          </w:p>
          <w:p w14:paraId="34832361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5B76C4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The Consultant might suggest </w:t>
            </w:r>
          </w:p>
          <w:p w14:paraId="552C9497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prescribing new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medicines for you or </w:t>
            </w:r>
          </w:p>
          <w:p w14:paraId="73D28DCD" w14:textId="565CD15B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might want to make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changes to the medicines that you are already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taking.</w:t>
            </w:r>
          </w:p>
          <w:p w14:paraId="4577D6B6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058D763F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C1C611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313ECB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53BD13" w14:textId="74D825DB" w:rsidR="002F35E7" w:rsidRP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>The Consultant is responsible for:</w:t>
            </w:r>
          </w:p>
          <w:p w14:paraId="53807913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897153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Giving you the first prescription for any new</w:t>
            </w:r>
          </w:p>
          <w:p w14:paraId="04CD3487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medicine that you need to start taking</w:t>
            </w:r>
          </w:p>
          <w:p w14:paraId="4F64DB6F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straightaway.</w:t>
            </w:r>
          </w:p>
          <w:p w14:paraId="2D2EE6B0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B58853" w14:textId="26BD152E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In some cases, your GP may be able to continue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to prescribe these medications. The GP will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need to see a full clinic letter from the</w:t>
            </w:r>
          </w:p>
          <w:p w14:paraId="223BCD31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consultant outlining the reasons for treatment</w:t>
            </w:r>
          </w:p>
          <w:p w14:paraId="6B3BA026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before deciding whether this might be</w:t>
            </w:r>
          </w:p>
          <w:p w14:paraId="697BB95A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appropriate. Wait at least seven days to allow</w:t>
            </w:r>
          </w:p>
          <w:p w14:paraId="030D6857" w14:textId="3D50E0EE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this letter to arrive before contacting your GP. If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a prescription is needed sooner than </w:t>
            </w:r>
            <w:proofErr w:type="gramStart"/>
            <w:r w:rsidRPr="002F35E7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2F35E7">
              <w:rPr>
                <w:rFonts w:ascii="Arial" w:hAnsi="Arial" w:cs="Arial"/>
                <w:sz w:val="22"/>
                <w:szCs w:val="22"/>
              </w:rPr>
              <w:t xml:space="preserve"> you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should contact the Consultants team for them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to prescribe (usually by their secretary).</w:t>
            </w:r>
          </w:p>
          <w:p w14:paraId="2997AAFE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8C0F46" w14:textId="4DC11EC2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Private consultants </w:t>
            </w:r>
            <w:r w:rsidRPr="002F35E7">
              <w:rPr>
                <w:rFonts w:ascii="Arial" w:hAnsi="Arial" w:cs="Arial"/>
                <w:sz w:val="22"/>
                <w:szCs w:val="22"/>
              </w:rPr>
              <w:t>may suggest medications to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patients which wouldn’t normally be prescribed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by NHS GPs. If this is the case, you will need to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continue to receive them from the Consultant,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please contact them directly to organise this.</w:t>
            </w:r>
          </w:p>
          <w:p w14:paraId="2174EDFE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9E9EAA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22C53FE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CB10C60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52CD7219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happens if I need to transfer my care back to the NHS?</w:t>
      </w:r>
    </w:p>
    <w:p w14:paraId="6BC36A8D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2E9F1594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If after seeing the Consultant privately you want to be back under NHS care, regulations</w:t>
      </w:r>
    </w:p>
    <w:p w14:paraId="280BA935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allow for you to transfer back. This transfer needs to be done by the private Consultant</w:t>
      </w:r>
    </w:p>
    <w:p w14:paraId="274EACB3" w14:textId="7BBB0524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 xml:space="preserve">who is overseeing your </w:t>
      </w:r>
      <w:proofErr w:type="gramStart"/>
      <w:r w:rsidRPr="002F35E7">
        <w:rPr>
          <w:rFonts w:ascii="Arial" w:hAnsi="Arial" w:cs="Arial"/>
          <w:sz w:val="22"/>
          <w:szCs w:val="22"/>
        </w:rPr>
        <w:t>care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and you should not be passed back to the GP for this to be done. There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 xml:space="preserve">are a few reasons </w:t>
      </w:r>
      <w:proofErr w:type="gramStart"/>
      <w:r w:rsidRPr="002F35E7">
        <w:rPr>
          <w:rFonts w:ascii="Arial" w:hAnsi="Arial" w:cs="Arial"/>
          <w:sz w:val="22"/>
          <w:szCs w:val="22"/>
        </w:rPr>
        <w:t>why;</w:t>
      </w:r>
      <w:proofErr w:type="gramEnd"/>
    </w:p>
    <w:p w14:paraId="1BD401F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10442041" w14:textId="520FDD2E" w:rsidR="002F35E7" w:rsidRPr="002F35E7" w:rsidRDefault="002F35E7" w:rsidP="00E2497C">
      <w:pPr>
        <w:tabs>
          <w:tab w:val="left" w:pos="1134"/>
          <w:tab w:val="left" w:leader="dot" w:pos="9000"/>
        </w:tabs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it delays your care</w:t>
      </w:r>
    </w:p>
    <w:p w14:paraId="20960D32" w14:textId="45A513B0" w:rsidR="002F35E7" w:rsidRPr="002F35E7" w:rsidRDefault="002F35E7" w:rsidP="00E2497C">
      <w:pPr>
        <w:tabs>
          <w:tab w:val="left" w:pos="1134"/>
          <w:tab w:val="left" w:leader="dot" w:pos="9000"/>
        </w:tabs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 xml:space="preserve">your </w:t>
      </w:r>
      <w:proofErr w:type="gramStart"/>
      <w:r w:rsidRPr="002F35E7">
        <w:rPr>
          <w:rFonts w:ascii="Arial" w:hAnsi="Arial" w:cs="Arial"/>
          <w:sz w:val="22"/>
          <w:szCs w:val="22"/>
        </w:rPr>
        <w:t>Consultant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knows the full details of your condition and where best to refer you to</w:t>
      </w:r>
    </w:p>
    <w:p w14:paraId="3784F7C1" w14:textId="68F128F1" w:rsidR="002F35E7" w:rsidRDefault="002F35E7" w:rsidP="002F35E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it wastes precious NHS appointments with your GP</w:t>
      </w:r>
    </w:p>
    <w:p w14:paraId="5B239022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321709F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if I need a Fit Note (previously known as Sick Note)?</w:t>
      </w:r>
    </w:p>
    <w:p w14:paraId="5ADB024F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34EA3E82" w14:textId="77777777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 xml:space="preserve">If you need to be certified as unfit for </w:t>
      </w:r>
      <w:proofErr w:type="gramStart"/>
      <w:r w:rsidRPr="002F35E7">
        <w:rPr>
          <w:rFonts w:ascii="Arial" w:hAnsi="Arial" w:cs="Arial"/>
          <w:sz w:val="22"/>
          <w:szCs w:val="22"/>
        </w:rPr>
        <w:t>work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following treatment by a Consultant:</w:t>
      </w:r>
    </w:p>
    <w:p w14:paraId="21CA804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196CC44B" w14:textId="0492FA60" w:rsidR="002F35E7" w:rsidRPr="002F35E7" w:rsidRDefault="002F35E7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the Consultant is responsible for issuing you with a Fit Note, this includes after</w:t>
      </w:r>
    </w:p>
    <w:p w14:paraId="7CB32B2A" w14:textId="159BF012" w:rsidR="002F35E7" w:rsidRDefault="00E2497C" w:rsidP="00E2497C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35E7" w:rsidRPr="002F35E7">
        <w:rPr>
          <w:rFonts w:ascii="Arial" w:hAnsi="Arial" w:cs="Arial"/>
          <w:sz w:val="22"/>
          <w:szCs w:val="22"/>
        </w:rPr>
        <w:t>operations.</w:t>
      </w:r>
    </w:p>
    <w:p w14:paraId="72E2D60B" w14:textId="77777777" w:rsidR="00E2497C" w:rsidRPr="002F35E7" w:rsidRDefault="00E2497C" w:rsidP="00E2497C">
      <w:pPr>
        <w:tabs>
          <w:tab w:val="left" w:pos="1134"/>
          <w:tab w:val="left" w:leader="dot" w:pos="9000"/>
        </w:tabs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</w:p>
    <w:p w14:paraId="008BD3C3" w14:textId="1A55A90D" w:rsidR="002F35E7" w:rsidRPr="002F35E7" w:rsidRDefault="002F35E7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the Fit Note should cover the period they expect you to be unfit to work, or until your</w:t>
      </w:r>
    </w:p>
    <w:p w14:paraId="0F4789BA" w14:textId="63430846" w:rsidR="002F35E7" w:rsidRPr="002F35E7" w:rsidRDefault="00E2497C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35E7" w:rsidRPr="002F35E7">
        <w:rPr>
          <w:rFonts w:ascii="Arial" w:hAnsi="Arial" w:cs="Arial"/>
          <w:sz w:val="22"/>
          <w:szCs w:val="22"/>
        </w:rPr>
        <w:t>next contact with the Consultant. You should not need to see your GP to get a Fit Note</w:t>
      </w:r>
    </w:p>
    <w:p w14:paraId="467B6CA7" w14:textId="1DA15A3F" w:rsidR="002F35E7" w:rsidRDefault="00E2497C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35E7" w:rsidRPr="002F35E7">
        <w:rPr>
          <w:rFonts w:ascii="Arial" w:hAnsi="Arial" w:cs="Arial"/>
          <w:sz w:val="22"/>
          <w:szCs w:val="22"/>
        </w:rPr>
        <w:t>following hospital treatment unless your inability to work is unexpectedly prolonged.</w:t>
      </w:r>
    </w:p>
    <w:p w14:paraId="5380E2BA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8041DF9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if I need a follow-up appointment?</w:t>
      </w:r>
    </w:p>
    <w:p w14:paraId="5C7711A3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174E72A1" w14:textId="4064A71B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The Consultant will discuss with you whether you should attend hospital for ongoing follow-up care or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whether you should be discharged back to your GP. If the Consultant thinks you do need to be seen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again, the hospital will give you another appointment or tell you when to expect this. If you do not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hear anything, please contact the Consultant’s office, rather than your GP surgery.</w:t>
      </w:r>
    </w:p>
    <w:p w14:paraId="66462841" w14:textId="77777777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3084F799" w14:textId="4FCDC3C4" w:rsidR="006104D1" w:rsidRPr="006104D1" w:rsidRDefault="006104D1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6104D1">
        <w:rPr>
          <w:rFonts w:ascii="Arial" w:hAnsi="Arial" w:cs="Arial"/>
          <w:b/>
          <w:bCs/>
          <w:sz w:val="28"/>
          <w:szCs w:val="28"/>
        </w:rPr>
        <w:t>What if I have had surgery abroad?</w:t>
      </w:r>
    </w:p>
    <w:p w14:paraId="3B85EA58" w14:textId="77777777" w:rsidR="00FA69F1" w:rsidRDefault="00FA69F1" w:rsidP="00FA69F1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5452E69C" w14:textId="2DA8B073" w:rsidR="00FA69F1" w:rsidRDefault="00FA69F1" w:rsidP="00FA69F1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FA69F1">
        <w:rPr>
          <w:rFonts w:ascii="Arial" w:hAnsi="Arial" w:cs="Arial"/>
          <w:sz w:val="22"/>
          <w:szCs w:val="22"/>
        </w:rPr>
        <w:t>As the procedure was carried out privately outside of NHS care pathways, responsibility for arranging and funding any routine post-operative monitoring, investigations, and follow-up remains with the treating surgeon, clinic, or an alternative private healthcare provider. Unfortunately, the practice is unable to undertake routine monitoring on behalf of private providers.</w:t>
      </w:r>
    </w:p>
    <w:p w14:paraId="7EF80BB9" w14:textId="77777777" w:rsidR="00FA69F1" w:rsidRPr="00FA69F1" w:rsidRDefault="00FA69F1" w:rsidP="00FA69F1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B65CC43" w14:textId="77777777" w:rsidR="00FA69F1" w:rsidRDefault="00FA69F1" w:rsidP="00FA69F1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FA69F1">
        <w:rPr>
          <w:rFonts w:ascii="Arial" w:hAnsi="Arial" w:cs="Arial"/>
          <w:sz w:val="22"/>
          <w:szCs w:val="22"/>
        </w:rPr>
        <w:t>We would therefore advise you to contact your surgeon or the clinic where the procedure was performed to arrange the necessary follow-up care and blood tests. If they are unable to provide this service, you may wish to seek assistance from an alternative private healthcare provider.</w:t>
      </w:r>
    </w:p>
    <w:p w14:paraId="0B0F3C61" w14:textId="77777777" w:rsidR="00FA69F1" w:rsidRPr="00FA69F1" w:rsidRDefault="00FA69F1" w:rsidP="00FA69F1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5B59D4CB" w14:textId="77777777" w:rsidR="00FA69F1" w:rsidRPr="00FA69F1" w:rsidRDefault="00FA69F1" w:rsidP="00FA69F1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FA69F1">
        <w:rPr>
          <w:rFonts w:ascii="Arial" w:hAnsi="Arial" w:cs="Arial"/>
          <w:sz w:val="22"/>
          <w:szCs w:val="22"/>
        </w:rPr>
        <w:t>Should you develop any new symptoms or concerns requiring NHS medical assessment, please contact the surgery in the usual way.</w:t>
      </w:r>
    </w:p>
    <w:p w14:paraId="6B989B2A" w14:textId="77777777" w:rsidR="00FA69F1" w:rsidRDefault="00FA69F1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1EECC2CE" w14:textId="77777777" w:rsidR="006104D1" w:rsidRPr="002F35E7" w:rsidRDefault="006104D1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379055B8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do I do if I have any questions?</w:t>
      </w:r>
    </w:p>
    <w:p w14:paraId="41E3C29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686A1804" w14:textId="7CFCF291" w:rsidR="00191AEA" w:rsidRPr="003C7458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 xml:space="preserve">If you have any specific questions related to your care, you should </w:t>
      </w:r>
      <w:r w:rsidRPr="002F35E7">
        <w:rPr>
          <w:rFonts w:ascii="Arial" w:hAnsi="Arial" w:cs="Arial"/>
          <w:b/>
          <w:bCs/>
          <w:sz w:val="22"/>
          <w:szCs w:val="22"/>
        </w:rPr>
        <w:t>contact the Consultants team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 xml:space="preserve">directly, it is important that you make sure you know how you can contact your </w:t>
      </w:r>
      <w:proofErr w:type="gramStart"/>
      <w:r w:rsidRPr="002F35E7">
        <w:rPr>
          <w:rFonts w:ascii="Arial" w:hAnsi="Arial" w:cs="Arial"/>
          <w:sz w:val="22"/>
          <w:szCs w:val="22"/>
        </w:rPr>
        <w:t>Consultant’s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office.</w:t>
      </w:r>
      <w:r>
        <w:rPr>
          <w:rFonts w:ascii="Arial" w:hAnsi="Arial" w:cs="Arial"/>
          <w:sz w:val="22"/>
          <w:szCs w:val="22"/>
        </w:rPr>
        <w:t xml:space="preserve">  </w:t>
      </w:r>
      <w:r w:rsidRPr="002F35E7">
        <w:rPr>
          <w:rFonts w:ascii="Arial" w:hAnsi="Arial" w:cs="Arial"/>
          <w:sz w:val="22"/>
          <w:szCs w:val="22"/>
        </w:rPr>
        <w:t>Thousands of appointments are wasted with NHS GPs discussing issues that should be dealt with by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Consultants.</w:t>
      </w:r>
    </w:p>
    <w:p w14:paraId="2D63281B" w14:textId="150FDBFD" w:rsidR="003D1D17" w:rsidRPr="00FA69F1" w:rsidRDefault="003D1D17" w:rsidP="0087044D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sectPr w:rsidR="003D1D17" w:rsidRPr="00FA69F1" w:rsidSect="001A7CA7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C083" w14:textId="77777777" w:rsidR="00974002" w:rsidRDefault="00974002" w:rsidP="003D1D17">
      <w:r>
        <w:separator/>
      </w:r>
    </w:p>
  </w:endnote>
  <w:endnote w:type="continuationSeparator" w:id="0">
    <w:p w14:paraId="000BC6FC" w14:textId="77777777" w:rsidR="00974002" w:rsidRDefault="00974002" w:rsidP="003D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5775" w14:textId="77777777" w:rsidR="00974002" w:rsidRDefault="00974002" w:rsidP="003D1D17">
      <w:r>
        <w:separator/>
      </w:r>
    </w:p>
  </w:footnote>
  <w:footnote w:type="continuationSeparator" w:id="0">
    <w:p w14:paraId="1A2A2F19" w14:textId="77777777" w:rsidR="00974002" w:rsidRDefault="00974002" w:rsidP="003D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FE4"/>
    <w:multiLevelType w:val="hybridMultilevel"/>
    <w:tmpl w:val="41C6B5EE"/>
    <w:lvl w:ilvl="0" w:tplc="DF58E3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56F0B1E"/>
    <w:multiLevelType w:val="hybridMultilevel"/>
    <w:tmpl w:val="B1628EA4"/>
    <w:lvl w:ilvl="0" w:tplc="7348346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7E1"/>
    <w:multiLevelType w:val="hybridMultilevel"/>
    <w:tmpl w:val="27DC83E6"/>
    <w:lvl w:ilvl="0" w:tplc="E3B894D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842AB"/>
    <w:multiLevelType w:val="hybridMultilevel"/>
    <w:tmpl w:val="86F039F6"/>
    <w:lvl w:ilvl="0" w:tplc="D39A70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381E"/>
    <w:multiLevelType w:val="hybridMultilevel"/>
    <w:tmpl w:val="82A8F702"/>
    <w:lvl w:ilvl="0" w:tplc="ABE037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B987F8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722E1A"/>
    <w:multiLevelType w:val="hybridMultilevel"/>
    <w:tmpl w:val="B7F4A4FC"/>
    <w:lvl w:ilvl="0" w:tplc="4D30B1A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31642">
    <w:abstractNumId w:val="0"/>
  </w:num>
  <w:num w:numId="2" w16cid:durableId="899242640">
    <w:abstractNumId w:val="4"/>
  </w:num>
  <w:num w:numId="3" w16cid:durableId="1663846449">
    <w:abstractNumId w:val="5"/>
  </w:num>
  <w:num w:numId="4" w16cid:durableId="2137985670">
    <w:abstractNumId w:val="1"/>
  </w:num>
  <w:num w:numId="5" w16cid:durableId="905646304">
    <w:abstractNumId w:val="3"/>
  </w:num>
  <w:num w:numId="6" w16cid:durableId="95767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1"/>
    <w:rsid w:val="00042D69"/>
    <w:rsid w:val="00125035"/>
    <w:rsid w:val="00155C97"/>
    <w:rsid w:val="0016012C"/>
    <w:rsid w:val="00191AEA"/>
    <w:rsid w:val="001A7CA7"/>
    <w:rsid w:val="001D48BB"/>
    <w:rsid w:val="00240617"/>
    <w:rsid w:val="002F35E7"/>
    <w:rsid w:val="002F5F6D"/>
    <w:rsid w:val="00300C3D"/>
    <w:rsid w:val="003162C5"/>
    <w:rsid w:val="0033019F"/>
    <w:rsid w:val="00391701"/>
    <w:rsid w:val="003B3CFF"/>
    <w:rsid w:val="003C7458"/>
    <w:rsid w:val="003D1D17"/>
    <w:rsid w:val="003E4EFC"/>
    <w:rsid w:val="003F4785"/>
    <w:rsid w:val="0041482D"/>
    <w:rsid w:val="00423CE9"/>
    <w:rsid w:val="00450E63"/>
    <w:rsid w:val="0045297E"/>
    <w:rsid w:val="004958D1"/>
    <w:rsid w:val="004C0420"/>
    <w:rsid w:val="0050140F"/>
    <w:rsid w:val="005400AE"/>
    <w:rsid w:val="005416F2"/>
    <w:rsid w:val="00565B48"/>
    <w:rsid w:val="005B40CF"/>
    <w:rsid w:val="005C73FE"/>
    <w:rsid w:val="005E4ED7"/>
    <w:rsid w:val="006104D1"/>
    <w:rsid w:val="00625EF1"/>
    <w:rsid w:val="006B6AE2"/>
    <w:rsid w:val="006C2518"/>
    <w:rsid w:val="007310DE"/>
    <w:rsid w:val="007A0F5C"/>
    <w:rsid w:val="00802AFA"/>
    <w:rsid w:val="0085448C"/>
    <w:rsid w:val="0087044D"/>
    <w:rsid w:val="0094189C"/>
    <w:rsid w:val="00974002"/>
    <w:rsid w:val="009916CD"/>
    <w:rsid w:val="009A4166"/>
    <w:rsid w:val="009A5A61"/>
    <w:rsid w:val="009E5BB1"/>
    <w:rsid w:val="009F44F9"/>
    <w:rsid w:val="00A0174E"/>
    <w:rsid w:val="00A07ED0"/>
    <w:rsid w:val="00A40988"/>
    <w:rsid w:val="00AB7EEF"/>
    <w:rsid w:val="00B10982"/>
    <w:rsid w:val="00BF256C"/>
    <w:rsid w:val="00C07297"/>
    <w:rsid w:val="00C16159"/>
    <w:rsid w:val="00CC61E4"/>
    <w:rsid w:val="00D0291D"/>
    <w:rsid w:val="00D335E8"/>
    <w:rsid w:val="00D75219"/>
    <w:rsid w:val="00DD3AA5"/>
    <w:rsid w:val="00E2497C"/>
    <w:rsid w:val="00E249CC"/>
    <w:rsid w:val="00E935BA"/>
    <w:rsid w:val="00EC0716"/>
    <w:rsid w:val="00ED15F4"/>
    <w:rsid w:val="00F3504D"/>
    <w:rsid w:val="00F526E3"/>
    <w:rsid w:val="00F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FE2FE"/>
  <w14:defaultImageDpi w14:val="0"/>
  <w15:docId w15:val="{B36411F9-ADB6-455B-8C41-910486C5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C3D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3D1D17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1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1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E281-F28F-4BAE-9C19-4CE5A19D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KELVIN GROVE SURGERY</vt:lpstr>
    </vt:vector>
  </TitlesOfParts>
  <Company>Barnsley PCT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KELVIN GROVE SURGERY</dc:title>
  <dc:creator>General Practice</dc:creator>
  <cp:lastModifiedBy>YOUNGS, Koren (WOMBWELL GMS PRACTICE)</cp:lastModifiedBy>
  <cp:revision>2</cp:revision>
  <cp:lastPrinted>2026-07-13T09:54:00Z</cp:lastPrinted>
  <dcterms:created xsi:type="dcterms:W3CDTF">2026-07-15T10:50:00Z</dcterms:created>
  <dcterms:modified xsi:type="dcterms:W3CDTF">2026-07-15T10:50:00Z</dcterms:modified>
</cp:coreProperties>
</file>